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2095E8C7"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A65F95">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7C9A6F7B" w14:textId="7AB1EC94" w:rsidR="00A65F95" w:rsidRPr="00A65F95" w:rsidRDefault="00D337AF" w:rsidP="00A65F95">
      <w:pPr>
        <w:pStyle w:val="05-ArticleText"/>
        <w:rPr>
          <w:b/>
          <w:bCs/>
        </w:rPr>
      </w:pPr>
      <w:r w:rsidRPr="00D337AF">
        <w:rPr>
          <w:b/>
          <w:bCs/>
        </w:rPr>
        <w:t>MJIT</w:t>
      </w:r>
      <w:r>
        <w:rPr>
          <w:b/>
          <w:bCs/>
        </w:rPr>
        <w:t xml:space="preserve"> </w:t>
      </w:r>
      <w:r w:rsidR="00A65F95" w:rsidRPr="00A65F95">
        <w:t>follows the</w:t>
      </w:r>
      <w:r w:rsidR="00A65F95" w:rsidRPr="00A65F95">
        <w:rPr>
          <w:b/>
          <w:bCs/>
        </w:rPr>
        <w:t xml:space="preserve"> IEEE </w:t>
      </w:r>
      <w:r w:rsidR="00A65F95" w:rsidRPr="00A65F95">
        <w:t>reference style, citations are enclosed in square brackets and numbered in the order they first appear, making it well suited to technical papers with dense cross-referencing of prior work</w:t>
      </w:r>
    </w:p>
    <w:p w14:paraId="4BB3BBE4" w14:textId="77777777" w:rsidR="00A65F95" w:rsidRPr="00A65F95" w:rsidRDefault="00A65F95" w:rsidP="00A65F95">
      <w:pPr>
        <w:pStyle w:val="05-ArticleText"/>
        <w:rPr>
          <w:b/>
          <w:bCs/>
        </w:rPr>
      </w:pPr>
      <w:r w:rsidRPr="00A65F95">
        <w:rPr>
          <w:b/>
          <w:bCs/>
        </w:rPr>
        <w:t>General Guidelines</w:t>
      </w:r>
    </w:p>
    <w:p w14:paraId="493BFD8F" w14:textId="77777777" w:rsidR="00A65F95" w:rsidRPr="00A65F95" w:rsidRDefault="00A65F95" w:rsidP="00A65F95">
      <w:pPr>
        <w:pStyle w:val="05-ArticleText"/>
        <w:numPr>
          <w:ilvl w:val="0"/>
          <w:numId w:val="25"/>
        </w:numPr>
      </w:pPr>
      <w:r w:rsidRPr="00A65F95">
        <w:t>In-text citations are Arabic numerals enclosed in square brackets, e.g., [1], assigned in the order of first appearance.</w:t>
      </w:r>
    </w:p>
    <w:p w14:paraId="1D7B27B9" w14:textId="77777777" w:rsidR="00A65F95" w:rsidRPr="00A65F95" w:rsidRDefault="00A65F95" w:rsidP="00A65F95">
      <w:pPr>
        <w:pStyle w:val="05-ArticleText"/>
        <w:numPr>
          <w:ilvl w:val="0"/>
          <w:numId w:val="25"/>
        </w:numPr>
      </w:pPr>
      <w:r w:rsidRPr="00A65F95">
        <w:t>The same bracketed number is reused for every subsequent citation of that source.</w:t>
      </w:r>
    </w:p>
    <w:p w14:paraId="18AFB6B5" w14:textId="77777777" w:rsidR="00A65F95" w:rsidRPr="00A65F95" w:rsidRDefault="00A65F95" w:rsidP="00A65F95">
      <w:pPr>
        <w:pStyle w:val="05-ArticleText"/>
        <w:numPr>
          <w:ilvl w:val="0"/>
          <w:numId w:val="25"/>
        </w:numPr>
      </w:pPr>
      <w:r w:rsidRPr="00A65F95">
        <w:t>The reference list is numbered to match citation order, not alphabetized by author.</w:t>
      </w:r>
    </w:p>
    <w:p w14:paraId="2800F0B5" w14:textId="77777777" w:rsidR="00A65F95" w:rsidRPr="00A65F95" w:rsidRDefault="00A65F95" w:rsidP="00A65F95">
      <w:pPr>
        <w:pStyle w:val="05-ArticleText"/>
        <w:numPr>
          <w:ilvl w:val="0"/>
          <w:numId w:val="25"/>
        </w:numPr>
      </w:pPr>
      <w:r w:rsidRPr="00A65F95">
        <w:t>Author names are given as initials followed by surname [e.g., A. B. Smith], reversed from the APA/Vancouver convention.</w:t>
      </w:r>
    </w:p>
    <w:p w14:paraId="471F1703" w14:textId="77777777" w:rsidR="00A65F95" w:rsidRPr="00A65F95" w:rsidRDefault="00A65F95" w:rsidP="00A65F95">
      <w:pPr>
        <w:pStyle w:val="05-ArticleText"/>
        <w:numPr>
          <w:ilvl w:val="0"/>
          <w:numId w:val="25"/>
        </w:numPr>
      </w:pPr>
      <w:r w:rsidRPr="00A65F95">
        <w:t>Article and paper titles are enclosed in quotation marks and use sentence case aside from proper nouns.</w:t>
      </w:r>
    </w:p>
    <w:p w14:paraId="0EC29DF7" w14:textId="77777777" w:rsidR="00A65F95" w:rsidRPr="00A65F95" w:rsidRDefault="00A65F95" w:rsidP="00A65F95">
      <w:pPr>
        <w:pStyle w:val="05-ArticleText"/>
        <w:numPr>
          <w:ilvl w:val="0"/>
          <w:numId w:val="25"/>
        </w:numPr>
      </w:pPr>
      <w:r w:rsidRPr="00A65F95">
        <w:t>Journal and conference names are italicized and commonly abbreviated using IEEE's standard abbreviation list.</w:t>
      </w:r>
    </w:p>
    <w:p w14:paraId="5B32D855" w14:textId="77777777" w:rsidR="00A65F95" w:rsidRPr="00A65F95" w:rsidRDefault="00A65F95" w:rsidP="00A65F95">
      <w:pPr>
        <w:pStyle w:val="05-ArticleText"/>
        <w:numPr>
          <w:ilvl w:val="0"/>
          <w:numId w:val="25"/>
        </w:numPr>
      </w:pPr>
      <w:r w:rsidRPr="00A65F95">
        <w:t>Volume, number [issue], and page fields are abbreviated as 'vol.', 'no.', and 'pp.'</w:t>
      </w:r>
    </w:p>
    <w:p w14:paraId="48A21948" w14:textId="77777777" w:rsidR="00A65F95" w:rsidRPr="00A65F95" w:rsidRDefault="00A65F95" w:rsidP="00A65F95">
      <w:pPr>
        <w:pStyle w:val="05-ArticleText"/>
        <w:numPr>
          <w:ilvl w:val="0"/>
          <w:numId w:val="25"/>
        </w:numPr>
      </w:pPr>
      <w:r w:rsidRPr="00A65F95">
        <w:t>The month and year of publication are included for journal articles [e.g., Mar. 2025].</w:t>
      </w:r>
    </w:p>
    <w:p w14:paraId="0DB0C849" w14:textId="77777777" w:rsidR="00A65F95" w:rsidRPr="00A65F95" w:rsidRDefault="00A65F95" w:rsidP="00A65F95">
      <w:pPr>
        <w:pStyle w:val="05-ArticleText"/>
        <w:numPr>
          <w:ilvl w:val="0"/>
          <w:numId w:val="25"/>
        </w:numPr>
      </w:pPr>
      <w:r w:rsidRPr="00A65F95">
        <w:t>DOIs are given at the end of the entry, and URLs for online sources are labeled 'Available:' followed by the link.</w:t>
      </w:r>
    </w:p>
    <w:p w14:paraId="520045ED" w14:textId="77777777" w:rsidR="00A65F95" w:rsidRPr="00A65F95" w:rsidRDefault="00A65F95" w:rsidP="00A65F95">
      <w:pPr>
        <w:pStyle w:val="05-ArticleText"/>
        <w:numPr>
          <w:ilvl w:val="0"/>
          <w:numId w:val="25"/>
        </w:numPr>
      </w:pPr>
      <w:r w:rsidRPr="00A65F95">
        <w:t>For online sources without a fixed publication date, an access date is included as '[Accessed: Month Day, Year]'.</w:t>
      </w:r>
    </w:p>
    <w:p w14:paraId="6F8771C8" w14:textId="77777777" w:rsidR="00A65F95" w:rsidRPr="00A65F95" w:rsidRDefault="00A65F95" w:rsidP="00A65F95">
      <w:pPr>
        <w:pStyle w:val="05-ArticleText"/>
        <w:numPr>
          <w:ilvl w:val="0"/>
          <w:numId w:val="25"/>
        </w:numPr>
      </w:pPr>
      <w:r w:rsidRPr="00A65F95">
        <w:lastRenderedPageBreak/>
        <w:t>Up to six authors are listed by initials and surname; beyond six, 'et al.' follows the first author.</w:t>
      </w:r>
    </w:p>
    <w:p w14:paraId="3A24F9F2" w14:textId="77777777" w:rsidR="00A65F95" w:rsidRPr="00A65F95" w:rsidRDefault="00A65F95" w:rsidP="00A65F95">
      <w:pPr>
        <w:pStyle w:val="05-ArticleText"/>
        <w:numPr>
          <w:ilvl w:val="0"/>
          <w:numId w:val="25"/>
        </w:numPr>
      </w:pPr>
      <w:r w:rsidRPr="00A65F95">
        <w:t>Standards and patents follow a distinct entry format that leads with the standard/patent number rather than an author.</w:t>
      </w:r>
    </w:p>
    <w:p w14:paraId="0D02E3AE" w14:textId="77777777" w:rsidR="00A84040" w:rsidRPr="00A65F95" w:rsidRDefault="00A84040" w:rsidP="00AE39CB">
      <w:pPr>
        <w:pStyle w:val="05-ArticleText"/>
        <w:ind w:firstLine="0"/>
        <w:rPr>
          <w:b/>
          <w:bCs/>
        </w:rPr>
      </w:pPr>
    </w:p>
    <w:p w14:paraId="4FD674D0" w14:textId="28923085" w:rsidR="0069549D" w:rsidRPr="00A65F95" w:rsidRDefault="0069549D" w:rsidP="00AE39CB">
      <w:pPr>
        <w:pStyle w:val="05-ArticleText"/>
        <w:ind w:firstLine="0"/>
      </w:pPr>
      <w:r w:rsidRPr="00A65F95">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65F95"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Example</w:t>
            </w:r>
          </w:p>
        </w:tc>
      </w:tr>
      <w:tr w:rsidR="00A65F95" w:rsidRPr="00A65F95"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41A4C521" w:rsidR="00A65F95" w:rsidRPr="00A65F95" w:rsidRDefault="00A65F95" w:rsidP="00A65F95">
            <w:pPr>
              <w:pStyle w:val="NoSpacing"/>
              <w:rPr>
                <w:sz w:val="20"/>
                <w:szCs w:val="20"/>
              </w:rPr>
            </w:pPr>
            <w:r w:rsidRPr="00A65F95">
              <w:rPr>
                <w:color w:val="000000"/>
                <w:sz w:val="20"/>
                <w:szCs w:val="20"/>
              </w:rPr>
              <w:t>One source, first mention</w:t>
            </w:r>
          </w:p>
        </w:tc>
        <w:tc>
          <w:tcPr>
            <w:tcW w:w="3525" w:type="pct"/>
            <w:shd w:val="clear" w:color="auto" w:fill="FFFFFF"/>
            <w:tcMar>
              <w:top w:w="225" w:type="dxa"/>
              <w:left w:w="225" w:type="dxa"/>
              <w:bottom w:w="225" w:type="dxa"/>
              <w:right w:w="225" w:type="dxa"/>
            </w:tcMar>
            <w:vAlign w:val="center"/>
            <w:hideMark/>
          </w:tcPr>
          <w:p w14:paraId="7AA399FC" w14:textId="41277095" w:rsidR="00A65F95" w:rsidRPr="00A65F95" w:rsidRDefault="00A65F95" w:rsidP="00A65F95">
            <w:pPr>
              <w:pStyle w:val="NoSpacing"/>
              <w:rPr>
                <w:sz w:val="20"/>
                <w:szCs w:val="20"/>
              </w:rPr>
            </w:pPr>
            <w:r w:rsidRPr="00A65F95">
              <w:rPr>
                <w:color w:val="000000"/>
                <w:sz w:val="20"/>
                <w:szCs w:val="20"/>
              </w:rPr>
              <w:t>This method was first proposed in [1].</w:t>
            </w:r>
          </w:p>
        </w:tc>
      </w:tr>
      <w:tr w:rsidR="00A65F95" w:rsidRPr="00A65F95"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5038822" w:rsidR="00A65F95" w:rsidRPr="00A65F95" w:rsidRDefault="00A65F95" w:rsidP="00A65F95">
            <w:pPr>
              <w:pStyle w:val="NoSpacing"/>
              <w:rPr>
                <w:sz w:val="20"/>
                <w:szCs w:val="20"/>
              </w:rPr>
            </w:pPr>
            <w:r w:rsidRPr="00A65F95">
              <w:rPr>
                <w:color w:val="000000"/>
                <w:sz w:val="20"/>
                <w:szCs w:val="20"/>
              </w:rPr>
              <w:t>Same source cited again later</w:t>
            </w:r>
          </w:p>
        </w:tc>
        <w:tc>
          <w:tcPr>
            <w:tcW w:w="3525" w:type="pct"/>
            <w:shd w:val="clear" w:color="auto" w:fill="FFFFFF"/>
            <w:tcMar>
              <w:top w:w="225" w:type="dxa"/>
              <w:left w:w="225" w:type="dxa"/>
              <w:bottom w:w="225" w:type="dxa"/>
              <w:right w:w="225" w:type="dxa"/>
            </w:tcMar>
            <w:vAlign w:val="center"/>
            <w:hideMark/>
          </w:tcPr>
          <w:p w14:paraId="7E42A216" w14:textId="16B12C2D" w:rsidR="00A65F95" w:rsidRPr="00A65F95" w:rsidRDefault="00A65F95" w:rsidP="00A65F95">
            <w:pPr>
              <w:pStyle w:val="NoSpacing"/>
              <w:rPr>
                <w:sz w:val="20"/>
                <w:szCs w:val="20"/>
              </w:rPr>
            </w:pPr>
            <w:r w:rsidRPr="00A65F95">
              <w:rPr>
                <w:color w:val="000000"/>
                <w:sz w:val="20"/>
                <w:szCs w:val="20"/>
              </w:rPr>
              <w:t>As shown in [1], performance improves with scale.</w:t>
            </w:r>
          </w:p>
        </w:tc>
      </w:tr>
      <w:tr w:rsidR="00A65F95" w:rsidRPr="00A65F95"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46BC87C6" w:rsidR="00A65F95" w:rsidRPr="00A65F95" w:rsidRDefault="00A65F95" w:rsidP="00A65F95">
            <w:pPr>
              <w:pStyle w:val="NoSpacing"/>
              <w:rPr>
                <w:sz w:val="20"/>
                <w:szCs w:val="20"/>
              </w:rPr>
            </w:pPr>
            <w:r w:rsidRPr="00A65F95">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A50FB28" w:rsidR="00A65F95" w:rsidRPr="00A65F95" w:rsidRDefault="00A65F95" w:rsidP="00A65F95">
            <w:pPr>
              <w:pStyle w:val="NoSpacing"/>
              <w:rPr>
                <w:sz w:val="20"/>
                <w:szCs w:val="20"/>
              </w:rPr>
            </w:pPr>
            <w:r w:rsidRPr="00A65F95">
              <w:rPr>
                <w:color w:val="000000"/>
                <w:sz w:val="20"/>
                <w:szCs w:val="20"/>
              </w:rPr>
              <w:t>Prior work has explored this space [2]-[4].</w:t>
            </w:r>
          </w:p>
        </w:tc>
      </w:tr>
      <w:tr w:rsidR="00A65F95" w:rsidRPr="00A65F95"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1235B83A" w:rsidR="00A65F95" w:rsidRPr="00A65F95" w:rsidRDefault="00A65F95" w:rsidP="00A65F95">
            <w:pPr>
              <w:pStyle w:val="NoSpacing"/>
              <w:rPr>
                <w:sz w:val="20"/>
                <w:szCs w:val="20"/>
              </w:rPr>
            </w:pPr>
            <w:r w:rsidRPr="00A65F95">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5A7167CA" w:rsidR="00A65F95" w:rsidRPr="00A65F95" w:rsidRDefault="00A65F95" w:rsidP="00A65F95">
            <w:pPr>
              <w:pStyle w:val="NoSpacing"/>
              <w:rPr>
                <w:sz w:val="20"/>
                <w:szCs w:val="20"/>
              </w:rPr>
            </w:pPr>
            <w:r w:rsidRPr="00A65F95">
              <w:rPr>
                <w:color w:val="000000"/>
                <w:sz w:val="20"/>
                <w:szCs w:val="20"/>
              </w:rPr>
              <w:t>Several studies confirm this trend [2], [5], [9].</w:t>
            </w:r>
          </w:p>
        </w:tc>
      </w:tr>
      <w:tr w:rsidR="00A65F95" w:rsidRPr="00A65F95"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93FD268" w:rsidR="00A65F95" w:rsidRPr="00A65F95" w:rsidRDefault="00A65F95" w:rsidP="00A65F95">
            <w:pPr>
              <w:pStyle w:val="NoSpacing"/>
              <w:rPr>
                <w:sz w:val="20"/>
                <w:szCs w:val="20"/>
              </w:rPr>
            </w:pPr>
            <w:r w:rsidRPr="00A65F95">
              <w:rPr>
                <w:color w:val="000000"/>
                <w:sz w:val="20"/>
                <w:szCs w:val="20"/>
              </w:rPr>
              <w:t>Citing a specific page or section</w:t>
            </w:r>
          </w:p>
        </w:tc>
        <w:tc>
          <w:tcPr>
            <w:tcW w:w="3525" w:type="pct"/>
            <w:shd w:val="clear" w:color="auto" w:fill="FFFFFF"/>
            <w:tcMar>
              <w:top w:w="225" w:type="dxa"/>
              <w:left w:w="225" w:type="dxa"/>
              <w:bottom w:w="225" w:type="dxa"/>
              <w:right w:w="225" w:type="dxa"/>
            </w:tcMar>
            <w:vAlign w:val="center"/>
            <w:hideMark/>
          </w:tcPr>
          <w:p w14:paraId="4F2FC8F7" w14:textId="2EC4FBBB" w:rsidR="00A65F95" w:rsidRPr="00A65F95" w:rsidRDefault="00A65F95" w:rsidP="00A65F95">
            <w:pPr>
              <w:pStyle w:val="NoSpacing"/>
              <w:rPr>
                <w:sz w:val="20"/>
                <w:szCs w:val="20"/>
              </w:rPr>
            </w:pPr>
            <w:r w:rsidRPr="00A65F95">
              <w:rPr>
                <w:color w:val="000000"/>
                <w:sz w:val="20"/>
                <w:szCs w:val="20"/>
              </w:rPr>
              <w:t>as detailed in [3, p. 12].</w:t>
            </w:r>
          </w:p>
        </w:tc>
      </w:tr>
      <w:tr w:rsidR="00A65F95" w:rsidRPr="00A65F95"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2CE0DDA" w:rsidR="00A65F95" w:rsidRPr="00A65F95" w:rsidRDefault="00A65F95" w:rsidP="00A65F95">
            <w:pPr>
              <w:pStyle w:val="NoSpacing"/>
              <w:rPr>
                <w:sz w:val="20"/>
                <w:szCs w:val="20"/>
              </w:rPr>
            </w:pPr>
            <w:r w:rsidRPr="00A65F95">
              <w:rPr>
                <w:color w:val="000000"/>
                <w:sz w:val="20"/>
                <w:szCs w:val="20"/>
              </w:rPr>
              <w:t>Citing a figure or table from a source</w:t>
            </w:r>
          </w:p>
        </w:tc>
        <w:tc>
          <w:tcPr>
            <w:tcW w:w="3525" w:type="pct"/>
            <w:shd w:val="clear" w:color="auto" w:fill="FFFFFF"/>
            <w:tcMar>
              <w:top w:w="225" w:type="dxa"/>
              <w:left w:w="225" w:type="dxa"/>
              <w:bottom w:w="225" w:type="dxa"/>
              <w:right w:w="225" w:type="dxa"/>
            </w:tcMar>
            <w:vAlign w:val="center"/>
            <w:hideMark/>
          </w:tcPr>
          <w:p w14:paraId="1944688C" w14:textId="37489C75" w:rsidR="00A65F95" w:rsidRPr="00A65F95" w:rsidRDefault="00A65F95" w:rsidP="00A65F95">
            <w:pPr>
              <w:pStyle w:val="NoSpacing"/>
              <w:rPr>
                <w:sz w:val="20"/>
                <w:szCs w:val="20"/>
              </w:rPr>
            </w:pPr>
            <w:r w:rsidRPr="00A65F95">
              <w:rPr>
                <w:color w:val="000000"/>
                <w:sz w:val="20"/>
                <w:szCs w:val="20"/>
              </w:rPr>
              <w:t>[see Fig. 2 in [4]].</w:t>
            </w:r>
          </w:p>
        </w:tc>
      </w:tr>
      <w:tr w:rsidR="00A65F95" w:rsidRPr="00A65F95"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5CBED015" w:rsidR="00A65F95" w:rsidRPr="00A65F95" w:rsidRDefault="00A65F95" w:rsidP="00A65F95">
            <w:pPr>
              <w:pStyle w:val="NoSpacing"/>
              <w:rPr>
                <w:sz w:val="20"/>
                <w:szCs w:val="20"/>
              </w:rPr>
            </w:pPr>
            <w:r w:rsidRPr="00A65F95">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AFAB909" w14:textId="32D8ECDE" w:rsidR="00A65F95" w:rsidRPr="00A65F95" w:rsidRDefault="00A65F95" w:rsidP="00A65F95">
            <w:pPr>
              <w:pStyle w:val="NoSpacing"/>
              <w:rPr>
                <w:sz w:val="20"/>
                <w:szCs w:val="20"/>
              </w:rPr>
            </w:pPr>
            <w:r w:rsidRPr="00A65F95">
              <w:rPr>
                <w:color w:val="000000"/>
                <w:sz w:val="20"/>
                <w:szCs w:val="20"/>
              </w:rPr>
              <w:t>each distinct work is assigned its own bracket number based on first appearance, e.g., [6] and [11].</w:t>
            </w:r>
          </w:p>
        </w:tc>
      </w:tr>
      <w:tr w:rsidR="00A65F95" w:rsidRPr="00A65F95"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929C75B" w:rsidR="00A65F95" w:rsidRPr="00A65F95" w:rsidRDefault="00A65F95" w:rsidP="00A65F95">
            <w:pPr>
              <w:pStyle w:val="NoSpacing"/>
              <w:rPr>
                <w:sz w:val="20"/>
                <w:szCs w:val="20"/>
              </w:rPr>
            </w:pPr>
            <w:r w:rsidRPr="00A65F95">
              <w:rPr>
                <w:color w:val="000000"/>
                <w:sz w:val="20"/>
                <w:szCs w:val="20"/>
              </w:rPr>
              <w:t>Referring to an entire reference list section</w:t>
            </w:r>
          </w:p>
        </w:tc>
        <w:tc>
          <w:tcPr>
            <w:tcW w:w="3525" w:type="pct"/>
            <w:shd w:val="clear" w:color="auto" w:fill="FFFFFF"/>
            <w:tcMar>
              <w:top w:w="225" w:type="dxa"/>
              <w:left w:w="225" w:type="dxa"/>
              <w:bottom w:w="225" w:type="dxa"/>
              <w:right w:w="225" w:type="dxa"/>
            </w:tcMar>
            <w:vAlign w:val="center"/>
            <w:hideMark/>
          </w:tcPr>
          <w:p w14:paraId="52E50871" w14:textId="59E51B23" w:rsidR="00A65F95" w:rsidRPr="00A65F95" w:rsidRDefault="00A65F95" w:rsidP="00A65F95">
            <w:pPr>
              <w:pStyle w:val="NoSpacing"/>
              <w:rPr>
                <w:sz w:val="20"/>
                <w:szCs w:val="20"/>
              </w:rPr>
            </w:pPr>
            <w:r w:rsidRPr="00A65F95">
              <w:rPr>
                <w:color w:val="000000"/>
                <w:sz w:val="20"/>
                <w:szCs w:val="20"/>
              </w:rPr>
              <w:t>the surveyed techniques [7]-[10] share a common architecture.</w:t>
            </w:r>
          </w:p>
        </w:tc>
      </w:tr>
      <w:tr w:rsidR="00A65F95" w:rsidRPr="00A65F95"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030CB69C" w:rsidR="00A65F95" w:rsidRPr="00A65F95" w:rsidRDefault="00A65F95" w:rsidP="00A65F95">
            <w:pPr>
              <w:pStyle w:val="NoSpacing"/>
              <w:rPr>
                <w:sz w:val="20"/>
                <w:szCs w:val="20"/>
              </w:rPr>
            </w:pPr>
            <w:r w:rsidRPr="00A65F95">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6B48063E" w14:textId="63E348F3" w:rsidR="00A65F95" w:rsidRPr="00A65F95" w:rsidRDefault="00A65F95" w:rsidP="00A65F95">
            <w:pPr>
              <w:pStyle w:val="NoSpacing"/>
              <w:rPr>
                <w:sz w:val="20"/>
                <w:szCs w:val="20"/>
              </w:rPr>
            </w:pPr>
            <w:r w:rsidRPr="00A65F95">
              <w:rPr>
                <w:color w:val="000000"/>
                <w:sz w:val="20"/>
                <w:szCs w:val="20"/>
              </w:rPr>
              <w:t>The standard defines strict tolerances [12].</w:t>
            </w:r>
          </w:p>
        </w:tc>
      </w:tr>
      <w:tr w:rsidR="00A65F95" w:rsidRPr="00A65F95"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426D55BC" w:rsidR="00A65F95" w:rsidRPr="00A65F95" w:rsidRDefault="00A65F95" w:rsidP="00A65F95">
            <w:pPr>
              <w:pStyle w:val="NoSpacing"/>
              <w:rPr>
                <w:sz w:val="20"/>
                <w:szCs w:val="20"/>
              </w:rPr>
            </w:pPr>
            <w:r w:rsidRPr="00A65F95">
              <w:rPr>
                <w:color w:val="000000"/>
                <w:sz w:val="20"/>
                <w:szCs w:val="20"/>
              </w:rPr>
              <w:t>Citing a standard</w:t>
            </w:r>
          </w:p>
        </w:tc>
        <w:tc>
          <w:tcPr>
            <w:tcW w:w="3525" w:type="pct"/>
            <w:shd w:val="clear" w:color="auto" w:fill="FFFFFF"/>
            <w:tcMar>
              <w:top w:w="225" w:type="dxa"/>
              <w:left w:w="225" w:type="dxa"/>
              <w:bottom w:w="225" w:type="dxa"/>
              <w:right w:w="225" w:type="dxa"/>
            </w:tcMar>
            <w:vAlign w:val="center"/>
            <w:hideMark/>
          </w:tcPr>
          <w:p w14:paraId="282B7F87" w14:textId="5CFF9E28" w:rsidR="00A65F95" w:rsidRPr="00A65F95" w:rsidRDefault="00A65F95" w:rsidP="00A65F95">
            <w:pPr>
              <w:pStyle w:val="NoSpacing"/>
              <w:rPr>
                <w:sz w:val="20"/>
                <w:szCs w:val="20"/>
              </w:rPr>
            </w:pPr>
            <w:r w:rsidRPr="00A65F95">
              <w:rPr>
                <w:color w:val="000000"/>
                <w:sz w:val="20"/>
                <w:szCs w:val="20"/>
              </w:rPr>
              <w:t>as required by the relevant specification [13].</w:t>
            </w:r>
          </w:p>
        </w:tc>
      </w:tr>
    </w:tbl>
    <w:p w14:paraId="7C153E91" w14:textId="77777777" w:rsidR="00AE75D3" w:rsidRPr="00A65F95" w:rsidRDefault="00AE75D3" w:rsidP="0069549D">
      <w:pPr>
        <w:pStyle w:val="05-ArticleText"/>
        <w:rPr>
          <w:b/>
          <w:bCs/>
        </w:rPr>
      </w:pPr>
    </w:p>
    <w:p w14:paraId="448B0800" w14:textId="1D48C2E7" w:rsidR="0069549D" w:rsidRPr="00A65F95" w:rsidRDefault="0069549D" w:rsidP="00AE39CB">
      <w:pPr>
        <w:pStyle w:val="05-ArticleText"/>
        <w:ind w:firstLine="0"/>
      </w:pPr>
      <w:r w:rsidRPr="00A65F95">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65F95"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65F95" w:rsidRDefault="0069549D" w:rsidP="0069549D">
            <w:pPr>
              <w:pStyle w:val="05-ArticleText"/>
            </w:pPr>
            <w:r w:rsidRPr="00A65F95">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65F95" w:rsidRDefault="0069549D" w:rsidP="0069549D">
            <w:pPr>
              <w:pStyle w:val="05-ArticleText"/>
            </w:pPr>
            <w:r w:rsidRPr="00A65F95">
              <w:rPr>
                <w:b/>
                <w:bCs/>
              </w:rPr>
              <w:t>Example Reference</w:t>
            </w:r>
          </w:p>
        </w:tc>
      </w:tr>
      <w:tr w:rsidR="00A65F95" w:rsidRPr="00A65F95"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41FF40D" w:rsidR="00A65F95" w:rsidRPr="00A65F95" w:rsidRDefault="00A65F95" w:rsidP="00A65F95">
            <w:pPr>
              <w:pStyle w:val="05-ArticleText"/>
              <w:ind w:firstLine="0"/>
            </w:pPr>
            <w:r w:rsidRPr="00A65F95">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6418DE0F" w:rsidR="00A65F95" w:rsidRPr="00A65F95" w:rsidRDefault="00A65F95" w:rsidP="00A65F95">
            <w:pPr>
              <w:pStyle w:val="05-ArticleText"/>
              <w:ind w:firstLine="0"/>
            </w:pPr>
            <w:r w:rsidRPr="00A65F95">
              <w:rPr>
                <w:color w:val="000000"/>
              </w:rPr>
              <w:t xml:space="preserve">[1] H. Nakamura and T. Ellis, "Predicting coastal erosion using satellite imagery," J. Environ. Sci., vol. 58, no. 3, pp. 210-224, Mar. 2022, </w:t>
            </w:r>
            <w:proofErr w:type="spellStart"/>
            <w:r w:rsidRPr="00A65F95">
              <w:rPr>
                <w:color w:val="000000"/>
              </w:rPr>
              <w:t>doi</w:t>
            </w:r>
            <w:proofErr w:type="spellEnd"/>
            <w:r w:rsidRPr="00A65F95">
              <w:rPr>
                <w:color w:val="000000"/>
              </w:rPr>
              <w:t>: 10.1234/jes.2022.05803.</w:t>
            </w:r>
          </w:p>
        </w:tc>
      </w:tr>
      <w:tr w:rsidR="00A65F95" w:rsidRPr="00A65F95"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435FE3ED" w:rsidR="00A65F95" w:rsidRPr="00A65F95" w:rsidRDefault="00A65F95" w:rsidP="00A65F95">
            <w:pPr>
              <w:pStyle w:val="05-ArticleText"/>
              <w:ind w:firstLine="0"/>
            </w:pPr>
            <w:r w:rsidRPr="00A65F95">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356E4402" w:rsidR="00A65F95" w:rsidRPr="00A65F95" w:rsidRDefault="00A65F95" w:rsidP="00A65F95">
            <w:pPr>
              <w:pStyle w:val="05-ArticleText"/>
              <w:ind w:firstLine="0"/>
            </w:pPr>
            <w:r w:rsidRPr="00A65F95">
              <w:rPr>
                <w:color w:val="000000"/>
              </w:rPr>
              <w:t>[2] M. Alvarez, "Cognitive load in remote learning environments," Educ. Psychol. Rev., vol. 31, no. 2, pp. 88-101, 2019.</w:t>
            </w:r>
          </w:p>
        </w:tc>
      </w:tr>
      <w:tr w:rsidR="00A65F95" w:rsidRPr="00A65F95"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B93CFFD" w:rsidR="00A65F95" w:rsidRPr="00A65F95" w:rsidRDefault="00A65F95" w:rsidP="00A65F95">
            <w:pPr>
              <w:pStyle w:val="05-ArticleText"/>
              <w:ind w:firstLine="0"/>
            </w:pPr>
            <w:r w:rsidRPr="00A65F95">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38B8EF1" w:rsidR="00A65F95" w:rsidRPr="00A65F95" w:rsidRDefault="00A65F95" w:rsidP="00A65F95">
            <w:pPr>
              <w:pStyle w:val="05-ArticleText"/>
              <w:ind w:firstLine="0"/>
            </w:pPr>
            <w:r w:rsidRPr="00A65F95">
              <w:rPr>
                <w:color w:val="000000"/>
              </w:rPr>
              <w:t>[3] K. Osei, Behavioral Economics and Public Policy, 2nd ed. Northbridge, U.K.: Northbridge Press, 2021.</w:t>
            </w:r>
          </w:p>
        </w:tc>
      </w:tr>
      <w:tr w:rsidR="00A65F95" w:rsidRPr="00A65F95"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1FC7ABBB" w:rsidR="00A65F95" w:rsidRPr="00A65F95" w:rsidRDefault="00A65F95" w:rsidP="00A65F95">
            <w:pPr>
              <w:pStyle w:val="05-ArticleText"/>
              <w:ind w:firstLine="0"/>
            </w:pPr>
            <w:r w:rsidRPr="00A65F95">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793C24F7" w:rsidR="00A65F95" w:rsidRPr="00A65F95" w:rsidRDefault="00A65F95" w:rsidP="00A65F95">
            <w:pPr>
              <w:pStyle w:val="05-ArticleText"/>
              <w:ind w:firstLine="0"/>
            </w:pPr>
            <w:r w:rsidRPr="00A65F95">
              <w:rPr>
                <w:color w:val="000000"/>
              </w:rPr>
              <w:t>[4] L. Chen and R. Patel, Eds., Advances in Renewable Energy Storage. Cascade, U.S.: Cascade Academic Publishing, 2020.</w:t>
            </w:r>
          </w:p>
        </w:tc>
      </w:tr>
      <w:tr w:rsidR="00A65F95" w:rsidRPr="00A65F95"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9E5113A" w:rsidR="00A65F95" w:rsidRPr="00A65F95" w:rsidRDefault="00A65F95" w:rsidP="00A65F95">
            <w:pPr>
              <w:pStyle w:val="05-ArticleText"/>
              <w:ind w:firstLine="0"/>
            </w:pPr>
            <w:r w:rsidRPr="00A65F95">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08C33658" w:rsidR="00A65F95" w:rsidRPr="00A65F95" w:rsidRDefault="00A65F95" w:rsidP="00A65F95">
            <w:pPr>
              <w:pStyle w:val="05-ArticleText"/>
              <w:ind w:firstLine="0"/>
            </w:pPr>
            <w:r w:rsidRPr="00A65F95">
              <w:rPr>
                <w:color w:val="000000"/>
              </w:rPr>
              <w:t>[5] F. Rossi, "Attachment theory in adolescence," in Handbook of Developmental Psychology, M. Kim, Ed. Meridian, U.S.: Meridian Press, 2020, pp. 145-168.</w:t>
            </w:r>
          </w:p>
        </w:tc>
      </w:tr>
      <w:tr w:rsidR="00A65F95" w:rsidRPr="00A65F95"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1307BEDC" w:rsidR="00A65F95" w:rsidRPr="00A65F95" w:rsidRDefault="00A65F95" w:rsidP="00A65F95">
            <w:pPr>
              <w:pStyle w:val="05-ArticleText"/>
              <w:ind w:firstLine="0"/>
            </w:pPr>
            <w:r w:rsidRPr="00A65F95">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2DB9F8DB" w:rsidR="00A65F95" w:rsidRPr="00A65F95" w:rsidRDefault="00A65F95" w:rsidP="00A65F95">
            <w:pPr>
              <w:pStyle w:val="05-ArticleText"/>
              <w:ind w:firstLine="0"/>
            </w:pPr>
            <w:r w:rsidRPr="00A65F95">
              <w:rPr>
                <w:color w:val="000000"/>
              </w:rPr>
              <w:t xml:space="preserve">[6] K. Osei and M. Alvarez, "Machine learning for early diagnosis," in Proc. Int. Conf. Health </w:t>
            </w:r>
            <w:proofErr w:type="spellStart"/>
            <w:r w:rsidRPr="00A65F95">
              <w:rPr>
                <w:color w:val="000000"/>
              </w:rPr>
              <w:t>Informat</w:t>
            </w:r>
            <w:proofErr w:type="spellEnd"/>
            <w:r w:rsidRPr="00A65F95">
              <w:rPr>
                <w:color w:val="000000"/>
              </w:rPr>
              <w:t>. [ICHI], Lisbon, Portugal, 2023, pp. 55-63.</w:t>
            </w:r>
          </w:p>
        </w:tc>
      </w:tr>
      <w:tr w:rsidR="00A65F95" w:rsidRPr="00A65F95"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B1769E8" w:rsidR="00A65F95" w:rsidRPr="00A65F95" w:rsidRDefault="00A65F95" w:rsidP="00A65F95">
            <w:pPr>
              <w:pStyle w:val="05-ArticleText"/>
              <w:ind w:firstLine="0"/>
            </w:pPr>
            <w:r w:rsidRPr="00A65F95">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57E826D3" w:rsidR="00A65F95" w:rsidRPr="00A65F95" w:rsidRDefault="00A65F95" w:rsidP="00A65F95">
            <w:pPr>
              <w:pStyle w:val="05-ArticleText"/>
              <w:ind w:firstLine="0"/>
            </w:pPr>
            <w:r w:rsidRPr="00A65F95">
              <w:rPr>
                <w:color w:val="000000"/>
              </w:rPr>
              <w:t>[7] R. Patel, "Urban heat islands and public health outcomes," Ph.D. dissertation, Dept. Urban Studies, Univ. of Manchester, Manchester, U.K., 2021.</w:t>
            </w:r>
          </w:p>
        </w:tc>
      </w:tr>
      <w:tr w:rsidR="00A65F95" w:rsidRPr="00A65F95"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5859B6B6" w:rsidR="00A65F95" w:rsidRPr="00A65F95" w:rsidRDefault="00A65F95" w:rsidP="00A65F95">
            <w:pPr>
              <w:pStyle w:val="05-ArticleText"/>
              <w:ind w:firstLine="0"/>
            </w:pPr>
            <w:r w:rsidRPr="00A65F95">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51971B47" w:rsidR="00A65F95" w:rsidRPr="00A65F95" w:rsidRDefault="00A65F95" w:rsidP="00A65F95">
            <w:pPr>
              <w:pStyle w:val="05-ArticleText"/>
              <w:ind w:firstLine="0"/>
            </w:pPr>
            <w:r w:rsidRPr="00A65F95">
              <w:rPr>
                <w:color w:val="000000"/>
              </w:rPr>
              <w:t>[8] National Institute of Environmental Studies, "Assessing groundwater contamination risk," NIES, Rep. NIES-2022-14, 2022.</w:t>
            </w:r>
          </w:p>
        </w:tc>
      </w:tr>
      <w:tr w:rsidR="00A65F95" w:rsidRPr="00A65F95"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322ADBE5" w:rsidR="00A65F95" w:rsidRPr="00A65F95" w:rsidRDefault="00A65F95" w:rsidP="00A65F95">
            <w:pPr>
              <w:pStyle w:val="05-ArticleText"/>
              <w:ind w:firstLine="0"/>
            </w:pPr>
            <w:r w:rsidRPr="00A65F95">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688B6F34" w:rsidR="00A65F95" w:rsidRPr="00A65F95" w:rsidRDefault="00A65F95" w:rsidP="00A65F95">
            <w:pPr>
              <w:pStyle w:val="05-ArticleText"/>
              <w:ind w:firstLine="0"/>
            </w:pPr>
            <w:r w:rsidRPr="00A65F95">
              <w:rPr>
                <w:color w:val="000000"/>
              </w:rPr>
              <w:t xml:space="preserve">[9] L. Chen, "Understanding carbon capture technology," </w:t>
            </w:r>
            <w:proofErr w:type="spellStart"/>
            <w:r w:rsidRPr="00A65F95">
              <w:rPr>
                <w:color w:val="000000"/>
              </w:rPr>
              <w:t>GreenFutures</w:t>
            </w:r>
            <w:proofErr w:type="spellEnd"/>
            <w:r w:rsidRPr="00A65F95">
              <w:rPr>
                <w:color w:val="000000"/>
              </w:rPr>
              <w:t>, 2023. [Online]. Available: https://www.greenfutures.example/carbon-capture. [Accessed: Jul. 3, 2026].</w:t>
            </w:r>
          </w:p>
        </w:tc>
      </w:tr>
      <w:tr w:rsidR="00A65F95" w:rsidRPr="00A65F95"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5E66F950" w:rsidR="00A65F95" w:rsidRPr="00A65F95" w:rsidRDefault="00A65F95" w:rsidP="00A65F95">
            <w:pPr>
              <w:pStyle w:val="05-ArticleText"/>
              <w:ind w:firstLine="0"/>
            </w:pPr>
            <w:r w:rsidRPr="00A65F95">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10F4F415" w:rsidR="00A65F95" w:rsidRPr="00A65F95" w:rsidRDefault="00A65F95" w:rsidP="00A65F95">
            <w:pPr>
              <w:pStyle w:val="05-ArticleText"/>
              <w:ind w:firstLine="0"/>
            </w:pPr>
            <w:r w:rsidRPr="00A65F95">
              <w:rPr>
                <w:color w:val="000000"/>
              </w:rPr>
              <w:t>[10] K. Osei, "Household energy consumption survey, 2018-2021," Open Data Repository, 2022. [Online]. Available: https://doi.org/10.5678/odr.2022.0044.</w:t>
            </w:r>
          </w:p>
        </w:tc>
      </w:tr>
      <w:tr w:rsidR="00A65F95" w:rsidRPr="00A65F95"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E4F68AD" w:rsidR="00A65F95" w:rsidRPr="00A65F95" w:rsidRDefault="00A65F95" w:rsidP="00A65F95">
            <w:pPr>
              <w:pStyle w:val="05-ArticleText"/>
              <w:ind w:firstLine="0"/>
            </w:pPr>
            <w:r w:rsidRPr="00A65F95">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27071AF" w:rsidR="00A65F95" w:rsidRPr="00A65F95" w:rsidRDefault="00A65F95" w:rsidP="00A65F95">
            <w:pPr>
              <w:pStyle w:val="05-ArticleText"/>
              <w:ind w:firstLine="0"/>
            </w:pPr>
            <w:r w:rsidRPr="00A65F95">
              <w:rPr>
                <w:color w:val="000000"/>
              </w:rPr>
              <w:t xml:space="preserve">[11] Meridian Analytics, </w:t>
            </w:r>
            <w:proofErr w:type="spellStart"/>
            <w:r w:rsidRPr="00A65F95">
              <w:rPr>
                <w:color w:val="000000"/>
              </w:rPr>
              <w:t>ClimateTrack</w:t>
            </w:r>
            <w:proofErr w:type="spellEnd"/>
            <w:r w:rsidRPr="00A65F95">
              <w:rPr>
                <w:color w:val="000000"/>
              </w:rPr>
              <w:t>, version 3.1. Meridian Analytics, 2023.</w:t>
            </w:r>
          </w:p>
        </w:tc>
      </w:tr>
      <w:tr w:rsidR="00A65F95" w:rsidRPr="00A65F95"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1D332998" w:rsidR="00A65F95" w:rsidRPr="00A65F95" w:rsidRDefault="00A65F95" w:rsidP="00A65F95">
            <w:pPr>
              <w:pStyle w:val="05-ArticleText"/>
              <w:ind w:firstLine="0"/>
            </w:pPr>
            <w:r w:rsidRPr="00A65F95">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069F49EF" w:rsidR="00A65F95" w:rsidRPr="00A65F95" w:rsidRDefault="00A65F95" w:rsidP="00A65F95">
            <w:pPr>
              <w:pStyle w:val="05-ArticleText"/>
              <w:ind w:firstLine="0"/>
            </w:pPr>
            <w:r w:rsidRPr="00A65F95">
              <w:rPr>
                <w:color w:val="000000"/>
              </w:rPr>
              <w:t xml:space="preserve">[12] H. Nakamura, "Deep learning approaches to seismic forecasting," </w:t>
            </w:r>
            <w:proofErr w:type="spellStart"/>
            <w:r w:rsidRPr="00A65F95">
              <w:rPr>
                <w:color w:val="000000"/>
              </w:rPr>
              <w:t>EarthArXiv</w:t>
            </w:r>
            <w:proofErr w:type="spellEnd"/>
            <w:r w:rsidRPr="00A65F95">
              <w:rPr>
                <w:color w:val="000000"/>
              </w:rPr>
              <w:t xml:space="preserve">, 2024, </w:t>
            </w:r>
            <w:proofErr w:type="spellStart"/>
            <w:r w:rsidRPr="00A65F95">
              <w:rPr>
                <w:color w:val="000000"/>
              </w:rPr>
              <w:t>doi</w:t>
            </w:r>
            <w:proofErr w:type="spellEnd"/>
            <w:r w:rsidRPr="00A65F95">
              <w:rPr>
                <w:color w:val="000000"/>
              </w:rPr>
              <w:t>: 10.1234/earth.2024.00981.</w:t>
            </w:r>
          </w:p>
        </w:tc>
      </w:tr>
      <w:tr w:rsidR="00A65F95" w:rsidRPr="00A65F95"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6FA7DEC6" w:rsidR="00A65F95" w:rsidRPr="00A65F95" w:rsidRDefault="00A65F95" w:rsidP="00A65F95">
            <w:pPr>
              <w:pStyle w:val="05-ArticleText"/>
              <w:ind w:firstLine="0"/>
            </w:pPr>
            <w:r w:rsidRPr="00A65F95">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0AE792DD" w:rsidR="00A65F95" w:rsidRPr="00A65F95" w:rsidRDefault="00A65F95" w:rsidP="00A65F95">
            <w:pPr>
              <w:pStyle w:val="05-ArticleText"/>
              <w:ind w:firstLine="0"/>
            </w:pPr>
            <w:r w:rsidRPr="00A65F95">
              <w:rPr>
                <w:color w:val="000000"/>
              </w:rPr>
              <w:t>[13] T. Ellis [@t_ellis_research], "New findings on urban air quality trends are now published," X, Sep. 12, 2023. [Online]. Available: https://x.com/t_ellis_research/status/1234567890.</w:t>
            </w:r>
          </w:p>
        </w:tc>
      </w:tr>
      <w:tr w:rsidR="00A65F95" w:rsidRPr="00A65F95"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3C903817" w:rsidR="00A65F95" w:rsidRPr="00A65F95" w:rsidRDefault="00A65F95" w:rsidP="00A65F95">
            <w:pPr>
              <w:pStyle w:val="05-ArticleText"/>
              <w:ind w:firstLine="0"/>
            </w:pPr>
            <w:r w:rsidRPr="00A65F95">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28C23083" w:rsidR="00A65F95" w:rsidRPr="00A65F95" w:rsidRDefault="00A65F95" w:rsidP="00A65F95">
            <w:pPr>
              <w:pStyle w:val="05-ArticleText"/>
              <w:ind w:firstLine="0"/>
            </w:pPr>
            <w:r w:rsidRPr="00A65F95">
              <w:rPr>
                <w:color w:val="000000"/>
              </w:rPr>
              <w:t>[14] OpenAI, ChatGPT, Aug. 2025 version, 2025. [Online]. Available: https://chat.openai.com. Note: IEEE recommends footnoting the use of AI-generated content rather than formally citing the tool as a source.</w:t>
            </w:r>
          </w:p>
        </w:tc>
      </w:tr>
      <w:tr w:rsidR="00A65F95" w:rsidRPr="00A65F95"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34ACCB4" w:rsidR="00A65F95" w:rsidRPr="00A65F95" w:rsidRDefault="00A65F95" w:rsidP="00A65F95">
            <w:pPr>
              <w:pStyle w:val="05-ArticleText"/>
              <w:ind w:firstLine="0"/>
            </w:pPr>
            <w:r w:rsidRPr="00A65F95">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57D31289" w:rsidR="00A65F95" w:rsidRPr="00A65F95" w:rsidRDefault="00A65F95" w:rsidP="00A65F95">
            <w:pPr>
              <w:pStyle w:val="05-ArticleText"/>
              <w:ind w:firstLine="0"/>
            </w:pPr>
            <w:r w:rsidRPr="00A65F95">
              <w:rPr>
                <w:color w:val="000000"/>
              </w:rPr>
              <w:t>[15] M. Alvarez, "New policy targets urban flooding risk," Coastal Tribune, Jan. 15, 2024, p. 4.</w:t>
            </w:r>
          </w:p>
        </w:tc>
      </w:tr>
      <w:tr w:rsidR="00A65F95" w:rsidRPr="00A65F95"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25034AF0" w:rsidR="00A65F95" w:rsidRPr="00A65F95" w:rsidRDefault="00A65F95" w:rsidP="00A65F95">
            <w:pPr>
              <w:pStyle w:val="05-ArticleText"/>
              <w:ind w:firstLine="0"/>
            </w:pPr>
            <w:r w:rsidRPr="00A65F95">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68C2C1DE" w:rsidR="00A65F95" w:rsidRPr="00A65F95" w:rsidRDefault="00A65F95" w:rsidP="00A65F95">
            <w:pPr>
              <w:pStyle w:val="05-ArticleText"/>
              <w:ind w:firstLine="0"/>
            </w:pPr>
            <w:r w:rsidRPr="00A65F95">
              <w:rPr>
                <w:color w:val="000000"/>
              </w:rPr>
              <w:t>[16] S. Kim, "Rethinking renewable subsidies," Policy Matters, episode 45, Nov. 2, 2023. [Podcast]. Available: https://www.policymatters.example/ep45.</w:t>
            </w:r>
          </w:p>
        </w:tc>
      </w:tr>
      <w:tr w:rsidR="00A65F95" w:rsidRPr="00A65F95"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DDA43A3" w:rsidR="00A65F95" w:rsidRPr="00A65F95" w:rsidRDefault="00A65F95" w:rsidP="00A65F95">
            <w:pPr>
              <w:pStyle w:val="05-ArticleText"/>
              <w:ind w:firstLine="0"/>
            </w:pPr>
            <w:r w:rsidRPr="00A65F95">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54EA435D" w:rsidR="00A65F95" w:rsidRPr="00A65F95" w:rsidRDefault="00A65F95" w:rsidP="00A65F95">
            <w:pPr>
              <w:pStyle w:val="05-ArticleText"/>
              <w:ind w:firstLine="0"/>
            </w:pPr>
            <w:r w:rsidRPr="00A65F95">
              <w:rPr>
                <w:color w:val="000000"/>
              </w:rPr>
              <w:t>[17] R. Patel, "How satellite data tracks deforestation," YouTube, Jul. 19, 2022. [Online video]. Available: https://www.youtube.com/watch?v=example123.</w:t>
            </w:r>
          </w:p>
        </w:tc>
      </w:tr>
    </w:tbl>
    <w:p w14:paraId="787A907C" w14:textId="77777777" w:rsidR="00AE75D3" w:rsidRPr="00A65F95" w:rsidRDefault="00AE75D3" w:rsidP="0069549D">
      <w:pPr>
        <w:pStyle w:val="05-ArticleText"/>
        <w:rPr>
          <w:b/>
          <w:bCs/>
        </w:rPr>
      </w:pPr>
    </w:p>
    <w:p w14:paraId="6F7547CC" w14:textId="560E2A53" w:rsidR="0069549D" w:rsidRPr="00A65F95" w:rsidRDefault="0069549D" w:rsidP="0069549D">
      <w:pPr>
        <w:pStyle w:val="05-ArticleText"/>
      </w:pPr>
      <w:r w:rsidRPr="00A65F95">
        <w:rPr>
          <w:b/>
          <w:bCs/>
        </w:rPr>
        <w:t>DOI and URL Formatting</w:t>
      </w:r>
    </w:p>
    <w:p w14:paraId="7D804DD3" w14:textId="77777777" w:rsidR="00A65F95" w:rsidRPr="00A65F95" w:rsidRDefault="00EF10D5" w:rsidP="00A65F95">
      <w:pPr>
        <w:spacing w:after="160"/>
        <w:rPr>
          <w:sz w:val="20"/>
          <w:szCs w:val="20"/>
        </w:rPr>
      </w:pPr>
      <w:r w:rsidRPr="00A65F95">
        <w:rPr>
          <w:sz w:val="20"/>
          <w:szCs w:val="20"/>
        </w:rPr>
        <w:tab/>
      </w:r>
      <w:r w:rsidR="00A65F95" w:rsidRPr="00A65F95">
        <w:rPr>
          <w:sz w:val="20"/>
          <w:szCs w:val="20"/>
        </w:rPr>
        <w:t>IEEE references list the DOI at the end of the entry as '</w:t>
      </w:r>
      <w:proofErr w:type="spellStart"/>
      <w:r w:rsidR="00A65F95" w:rsidRPr="00A65F95">
        <w:rPr>
          <w:sz w:val="20"/>
          <w:szCs w:val="20"/>
        </w:rPr>
        <w:t>doi</w:t>
      </w:r>
      <w:proofErr w:type="spellEnd"/>
      <w:r w:rsidR="00A65F95" w:rsidRPr="00A65F95">
        <w:rPr>
          <w:sz w:val="20"/>
          <w:szCs w:val="20"/>
        </w:rPr>
        <w:t xml:space="preserve">: </w:t>
      </w:r>
      <w:proofErr w:type="gramStart"/>
      <w:r w:rsidR="00A65F95" w:rsidRPr="00A65F95">
        <w:rPr>
          <w:sz w:val="20"/>
          <w:szCs w:val="20"/>
        </w:rPr>
        <w:t>10.xxxx</w:t>
      </w:r>
      <w:proofErr w:type="gramEnd"/>
      <w:r w:rsidR="00A65F95" w:rsidRPr="00A65F95">
        <w:rPr>
          <w:sz w:val="20"/>
          <w:szCs w:val="20"/>
        </w:rPr>
        <w:t>/</w:t>
      </w:r>
      <w:proofErr w:type="spellStart"/>
      <w:r w:rsidR="00A65F95" w:rsidRPr="00A65F95">
        <w:rPr>
          <w:sz w:val="20"/>
          <w:szCs w:val="20"/>
        </w:rPr>
        <w:t>xxxxx</w:t>
      </w:r>
      <w:proofErr w:type="spellEnd"/>
      <w:r w:rsidR="00A65F95" w:rsidRPr="00A65F95">
        <w:rPr>
          <w:sz w:val="20"/>
          <w:szCs w:val="20"/>
        </w:rPr>
        <w:t xml:space="preserve">'. For purely online material, use 'Available:' followed by the URL, and add an access </w:t>
      </w:r>
      <w:proofErr w:type="spellStart"/>
      <w:r w:rsidR="00A65F95" w:rsidRPr="00A65F95">
        <w:rPr>
          <w:sz w:val="20"/>
          <w:szCs w:val="20"/>
        </w:rPr>
        <w:t>date</w:t>
      </w:r>
      <w:proofErr w:type="spellEnd"/>
      <w:r w:rsidR="00A65F95" w:rsidRPr="00A65F95">
        <w:rPr>
          <w:sz w:val="20"/>
          <w:szCs w:val="20"/>
        </w:rPr>
        <w:t xml:space="preserve"> in brackets when the source could change over time [e.g., a wiki or dataset repository].</w:t>
      </w:r>
    </w:p>
    <w:p w14:paraId="4E338878" w14:textId="3E368E90"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4627D" w14:textId="77777777" w:rsidR="00CD263E" w:rsidRDefault="00CD263E">
      <w:pPr>
        <w:spacing w:after="0" w:line="240" w:lineRule="auto"/>
      </w:pPr>
      <w:r>
        <w:separator/>
      </w:r>
    </w:p>
  </w:endnote>
  <w:endnote w:type="continuationSeparator" w:id="0">
    <w:p w14:paraId="36CAEBB7" w14:textId="77777777" w:rsidR="00CD263E" w:rsidRDefault="00CD2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877A8" w14:textId="77777777" w:rsidR="00CD263E" w:rsidRDefault="00CD263E">
      <w:pPr>
        <w:spacing w:after="0" w:line="240" w:lineRule="auto"/>
      </w:pPr>
      <w:r>
        <w:separator/>
      </w:r>
    </w:p>
  </w:footnote>
  <w:footnote w:type="continuationSeparator" w:id="0">
    <w:p w14:paraId="7DC5793C" w14:textId="77777777" w:rsidR="00CD263E" w:rsidRDefault="00CD26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269244AD" w:rsidR="001B0D1A" w:rsidRPr="003D781F" w:rsidRDefault="00D337AF" w:rsidP="00D337AF">
          <w:pPr>
            <w:widowControl w:val="0"/>
            <w:spacing w:after="0" w:line="240" w:lineRule="auto"/>
            <w:ind w:left="-113"/>
            <w:rPr>
              <w:rFonts w:eastAsia="Times New Roman"/>
              <w:b/>
              <w:bCs/>
              <w:i/>
              <w:iCs/>
              <w:sz w:val="18"/>
              <w:szCs w:val="18"/>
            </w:rPr>
          </w:pPr>
          <w:r w:rsidRPr="00D337AF">
            <w:rPr>
              <w:rFonts w:eastAsia="Times New Roman"/>
              <w:b/>
              <w:bCs/>
              <w:i/>
              <w:iCs/>
              <w:sz w:val="18"/>
              <w:szCs w:val="18"/>
            </w:rPr>
            <w:t>Majestic Journal of Information Technology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7FA05DF5" w14:textId="77777777" w:rsidR="00D337AF" w:rsidRPr="00D337AF" w:rsidRDefault="00D337AF" w:rsidP="00D337AF">
          <w:pPr>
            <w:widowControl w:val="0"/>
            <w:spacing w:before="40" w:after="0" w:line="240" w:lineRule="auto"/>
            <w:rPr>
              <w:rFonts w:eastAsia="Times New Roman"/>
              <w:b/>
              <w:bCs/>
              <w:color w:val="008180"/>
            </w:rPr>
          </w:pPr>
          <w:r w:rsidRPr="00D337AF">
            <w:rPr>
              <w:rFonts w:eastAsia="Times New Roman"/>
              <w:b/>
              <w:bCs/>
              <w:color w:val="008180"/>
            </w:rPr>
            <w:t>Majestic Journal of Information Technology</w:t>
          </w:r>
        </w:p>
        <w:p w14:paraId="0B6E93B4" w14:textId="17C55533" w:rsidR="00B51DBC" w:rsidRPr="00701592" w:rsidRDefault="00A65F95" w:rsidP="007D206B">
          <w:pPr>
            <w:widowControl w:val="0"/>
            <w:spacing w:before="40" w:after="0" w:line="240" w:lineRule="auto"/>
            <w:rPr>
              <w:rFonts w:eastAsia="Times New Roman"/>
              <w:b/>
              <w:bCs/>
              <w:sz w:val="20"/>
              <w:szCs w:val="20"/>
            </w:rPr>
          </w:pPr>
          <w:proofErr w:type="gramStart"/>
          <w:r w:rsidRPr="00A65F95">
            <w:rPr>
              <w:rFonts w:eastAsia="Times New Roman"/>
              <w:b/>
              <w:bCs/>
              <w:sz w:val="20"/>
              <w:szCs w:val="20"/>
            </w:rPr>
            <w:t>ISSN :</w:t>
          </w:r>
          <w:proofErr w:type="gramEnd"/>
          <w:r w:rsidRPr="00A65F95">
            <w:rPr>
              <w:rFonts w:eastAsia="Times New Roman"/>
              <w:b/>
              <w:bCs/>
              <w:sz w:val="20"/>
              <w:szCs w:val="20"/>
            </w:rPr>
            <w:t xml:space="preserve"> 3142-8428</w:t>
          </w: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F144DA"/>
    <w:multiLevelType w:val="multilevel"/>
    <w:tmpl w:val="234EAE6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5"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6DB61BCA"/>
    <w:multiLevelType w:val="multilevel"/>
    <w:tmpl w:val="8476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1"/>
  </w:num>
  <w:num w:numId="3" w16cid:durableId="1998991618">
    <w:abstractNumId w:val="18"/>
  </w:num>
  <w:num w:numId="4" w16cid:durableId="1087842260">
    <w:abstractNumId w:val="8"/>
  </w:num>
  <w:num w:numId="5" w16cid:durableId="706754438">
    <w:abstractNumId w:val="15"/>
  </w:num>
  <w:num w:numId="6" w16cid:durableId="325596643">
    <w:abstractNumId w:val="6"/>
  </w:num>
  <w:num w:numId="7" w16cid:durableId="725421805">
    <w:abstractNumId w:val="12"/>
  </w:num>
  <w:num w:numId="8" w16cid:durableId="1993289058">
    <w:abstractNumId w:val="19"/>
  </w:num>
  <w:num w:numId="9" w16cid:durableId="271086262">
    <w:abstractNumId w:val="22"/>
  </w:num>
  <w:num w:numId="10" w16cid:durableId="264382586">
    <w:abstractNumId w:val="1"/>
  </w:num>
  <w:num w:numId="11" w16cid:durableId="1968777570">
    <w:abstractNumId w:val="17"/>
  </w:num>
  <w:num w:numId="12" w16cid:durableId="1357848673">
    <w:abstractNumId w:val="24"/>
  </w:num>
  <w:num w:numId="13" w16cid:durableId="519667364">
    <w:abstractNumId w:val="5"/>
  </w:num>
  <w:num w:numId="14" w16cid:durableId="1024214572">
    <w:abstractNumId w:val="16"/>
  </w:num>
  <w:num w:numId="15" w16cid:durableId="1141310106">
    <w:abstractNumId w:val="20"/>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4"/>
  </w:num>
  <w:num w:numId="21" w16cid:durableId="1890603114">
    <w:abstractNumId w:val="7"/>
  </w:num>
  <w:num w:numId="22" w16cid:durableId="1418479816">
    <w:abstractNumId w:val="13"/>
  </w:num>
  <w:num w:numId="23" w16cid:durableId="130171870">
    <w:abstractNumId w:val="10"/>
  </w:num>
  <w:num w:numId="24" w16cid:durableId="1738746565">
    <w:abstractNumId w:val="23"/>
  </w:num>
  <w:num w:numId="25" w16cid:durableId="402146819">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2F3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9110C0"/>
    <w:rsid w:val="00914E68"/>
    <w:rsid w:val="00931B87"/>
    <w:rsid w:val="00933135"/>
    <w:rsid w:val="0094078B"/>
    <w:rsid w:val="009428EF"/>
    <w:rsid w:val="00951BD2"/>
    <w:rsid w:val="00957435"/>
    <w:rsid w:val="009649BA"/>
    <w:rsid w:val="009A62E8"/>
    <w:rsid w:val="009D58A8"/>
    <w:rsid w:val="009D626B"/>
    <w:rsid w:val="00A040F4"/>
    <w:rsid w:val="00A2299F"/>
    <w:rsid w:val="00A3508F"/>
    <w:rsid w:val="00A65F95"/>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D4AC8"/>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C7F37"/>
    <w:rsid w:val="00CD263E"/>
    <w:rsid w:val="00CD2D50"/>
    <w:rsid w:val="00CD340F"/>
    <w:rsid w:val="00CD7E54"/>
    <w:rsid w:val="00D044A1"/>
    <w:rsid w:val="00D055A5"/>
    <w:rsid w:val="00D22CAB"/>
    <w:rsid w:val="00D3049A"/>
    <w:rsid w:val="00D337AF"/>
    <w:rsid w:val="00D406FD"/>
    <w:rsid w:val="00E63019"/>
    <w:rsid w:val="00E86264"/>
    <w:rsid w:val="00E90003"/>
    <w:rsid w:val="00E92F66"/>
    <w:rsid w:val="00E94646"/>
    <w:rsid w:val="00ED4780"/>
    <w:rsid w:val="00EF10D5"/>
    <w:rsid w:val="00F411BA"/>
    <w:rsid w:val="00F50FB5"/>
    <w:rsid w:val="00F75EBD"/>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jit/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2202</Words>
  <Characters>12554</Characters>
  <Application>Microsoft Office Word</Application>
  <DocSecurity>0</DocSecurity>
  <Lines>104</Lines>
  <Paragraphs>29</Paragraphs>
  <ScaleCrop>false</ScaleCrop>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